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698A8" w14:textId="77777777" w:rsidR="001E15EB" w:rsidRPr="001E15EB" w:rsidRDefault="001E15EB" w:rsidP="001E15E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1C8B525B" w14:textId="77777777" w:rsidR="001E15EB" w:rsidRPr="001E15EB" w:rsidRDefault="001E15EB" w:rsidP="001E15E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ЧАПЛЫГИНСКОГО </w:t>
      </w:r>
      <w:r w:rsidRPr="001E15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14:paraId="27E32123" w14:textId="77777777" w:rsidR="001E15EB" w:rsidRPr="001E15EB" w:rsidRDefault="001E15EB" w:rsidP="001E15E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F7AF868" w14:textId="77777777" w:rsidR="001E15EB" w:rsidRPr="001E15EB" w:rsidRDefault="001E15EB" w:rsidP="001E15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14:paraId="3B988C91" w14:textId="77777777" w:rsidR="001E15EB" w:rsidRPr="001E15EB" w:rsidRDefault="001E15EB" w:rsidP="001E15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21"/>
        <w:gridCol w:w="3097"/>
        <w:gridCol w:w="1385"/>
        <w:gridCol w:w="1134"/>
      </w:tblGrid>
      <w:tr w:rsidR="001E15EB" w:rsidRPr="001E15EB" w14:paraId="449F46C5" w14:textId="77777777" w:rsidTr="009E4D07">
        <w:tc>
          <w:tcPr>
            <w:tcW w:w="2099" w:type="pct"/>
            <w:hideMark/>
          </w:tcPr>
          <w:p w14:paraId="665567E5" w14:textId="77777777" w:rsidR="001E15EB" w:rsidRPr="001E15EB" w:rsidRDefault="001E15EB" w:rsidP="001E15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5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«22» июля 2025 года</w:t>
            </w:r>
          </w:p>
        </w:tc>
        <w:tc>
          <w:tcPr>
            <w:tcW w:w="1620" w:type="pct"/>
          </w:tcPr>
          <w:p w14:paraId="757FB87F" w14:textId="77777777" w:rsidR="001E15EB" w:rsidRPr="001E15EB" w:rsidRDefault="001E15EB" w:rsidP="001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hideMark/>
          </w:tcPr>
          <w:p w14:paraId="3FD5C717" w14:textId="77777777" w:rsidR="001E15EB" w:rsidRPr="001E15EB" w:rsidRDefault="001E15EB" w:rsidP="001E1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5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07438704" w14:textId="3A1E49F4" w:rsidR="001E15EB" w:rsidRPr="001E15EB" w:rsidRDefault="00FB55F8" w:rsidP="001E1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129/442</w:t>
            </w:r>
          </w:p>
        </w:tc>
      </w:tr>
    </w:tbl>
    <w:p w14:paraId="2D6AD4C0" w14:textId="77777777" w:rsidR="001E15EB" w:rsidRPr="001E15EB" w:rsidRDefault="001E15EB" w:rsidP="001E1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Чаплыгин</w:t>
      </w:r>
    </w:p>
    <w:p w14:paraId="7E4B11CE" w14:textId="491C896C" w:rsidR="001E15EB" w:rsidRDefault="001E15EB" w:rsidP="001E15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CAD604" w14:textId="34B54F08" w:rsidR="009852F5" w:rsidRPr="001E15EB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1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 w:rsidRPr="001E1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14:paraId="1704C5BB" w14:textId="21A0D276" w:rsidR="00472A7B" w:rsidRPr="001E15E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15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1E15EB">
        <w:rPr>
          <w:rFonts w:ascii="Times New Roman" w:hAnsi="Times New Roman" w:cs="Times New Roman"/>
          <w:b/>
          <w:bCs/>
          <w:sz w:val="28"/>
          <w:szCs w:val="28"/>
        </w:rPr>
        <w:t>выборов депутат</w:t>
      </w:r>
      <w:r w:rsidR="00413F01" w:rsidRPr="001E15E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4606CB" w:rsidRPr="001E1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15EB" w:rsidRPr="001E15EB">
        <w:rPr>
          <w:rFonts w:ascii="Times New Roman" w:hAnsi="Times New Roman" w:cs="Times New Roman"/>
          <w:b/>
          <w:bCs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9B54B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E15EB" w:rsidRPr="001E15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4F8C" w:rsidRPr="001E15EB">
        <w:rPr>
          <w:rFonts w:ascii="Times New Roman" w:hAnsi="Times New Roman" w:cs="Times New Roman"/>
          <w:b/>
          <w:bCs/>
          <w:sz w:val="28"/>
          <w:szCs w:val="28"/>
        </w:rPr>
        <w:t>назначенных на 14 сентября 2025 года</w:t>
      </w:r>
    </w:p>
    <w:p w14:paraId="468E1F36" w14:textId="77777777"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BA26C" w14:textId="4F10D7BF" w:rsidR="00D56382" w:rsidRPr="00FB4283" w:rsidRDefault="00472A7B" w:rsidP="00844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FB55F8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</w:t>
      </w:r>
      <w:r w:rsidR="006E7F71" w:rsidRPr="001E15E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1E15EB" w:rsidRPr="001E15EB">
        <w:rPr>
          <w:rFonts w:ascii="Times New Roman" w:hAnsi="Times New Roman" w:cs="Times New Roman"/>
          <w:sz w:val="28"/>
          <w:szCs w:val="28"/>
        </w:rPr>
        <w:t>79/792-7  «О возложении полномочий по организации подготовки и проведения выборов в органы местного самоуправления, местного референдума в Чаплыгинском муниципальном округе Липецкой области на территориальную избирательную комиссию Чаплыгинского района»</w:t>
      </w:r>
      <w:r w:rsidR="006E7F71" w:rsidRPr="001E15EB">
        <w:rPr>
          <w:rFonts w:ascii="Times New Roman" w:hAnsi="Times New Roman" w:cs="Times New Roman"/>
          <w:sz w:val="28"/>
          <w:szCs w:val="28"/>
        </w:rPr>
        <w:t>,</w:t>
      </w:r>
      <w:r w:rsidR="006E7F71" w:rsidRPr="00724B4D">
        <w:rPr>
          <w:rFonts w:ascii="Times New Roman" w:hAnsi="Times New Roman"/>
          <w:sz w:val="28"/>
          <w:szCs w:val="28"/>
        </w:rPr>
        <w:t xml:space="preserve"> постановлением территориальной избирательной комиссии </w:t>
      </w:r>
      <w:r w:rsidR="001E15EB" w:rsidRPr="001E15EB">
        <w:rPr>
          <w:rFonts w:ascii="Times New Roman" w:hAnsi="Times New Roman" w:cs="Times New Roman"/>
          <w:sz w:val="28"/>
          <w:szCs w:val="28"/>
        </w:rPr>
        <w:t>Чаплыгинского</w:t>
      </w:r>
      <w:r w:rsidR="006E7F71" w:rsidRPr="00724B4D">
        <w:rPr>
          <w:rFonts w:ascii="Times New Roman" w:hAnsi="Times New Roman"/>
          <w:sz w:val="28"/>
          <w:szCs w:val="28"/>
        </w:rPr>
        <w:t xml:space="preserve"> 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1E15EB">
        <w:rPr>
          <w:rFonts w:ascii="Times New Roman" w:hAnsi="Times New Roman"/>
          <w:bCs/>
          <w:sz w:val="28"/>
          <w:szCs w:val="28"/>
        </w:rPr>
        <w:t>«16» июня 2025 года № 120/386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 w:rsidR="001E15EB" w:rsidRPr="001E15EB">
        <w:rPr>
          <w:rFonts w:ascii="Times New Roman" w:hAnsi="Times New Roman" w:cs="Times New Roman"/>
          <w:sz w:val="28"/>
          <w:szCs w:val="28"/>
        </w:rPr>
        <w:t>Чаплыгинского</w:t>
      </w:r>
      <w:r w:rsidR="001E15EB" w:rsidRPr="00724B4D">
        <w:rPr>
          <w:rFonts w:ascii="Times New Roman" w:hAnsi="Times New Roman"/>
          <w:bCs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муниципального округа Липецкой области Российской Федерации первого созыва на территориальную </w:t>
      </w:r>
      <w:r w:rsidR="006E7F71" w:rsidRPr="00724B4D">
        <w:rPr>
          <w:rFonts w:ascii="Times New Roman" w:hAnsi="Times New Roman"/>
          <w:bCs/>
          <w:sz w:val="28"/>
          <w:szCs w:val="28"/>
        </w:rPr>
        <w:lastRenderedPageBreak/>
        <w:t xml:space="preserve">избирательную комиссию </w:t>
      </w:r>
      <w:r w:rsidR="001E15EB" w:rsidRPr="001E15EB">
        <w:rPr>
          <w:rFonts w:ascii="Times New Roman" w:hAnsi="Times New Roman" w:cs="Times New Roman"/>
          <w:sz w:val="28"/>
          <w:szCs w:val="28"/>
        </w:rPr>
        <w:t>Чаплыгинского</w:t>
      </w:r>
      <w:r w:rsidR="001E15EB" w:rsidRPr="00724B4D">
        <w:rPr>
          <w:rFonts w:ascii="Times New Roman" w:hAnsi="Times New Roman"/>
          <w:bCs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bCs/>
          <w:sz w:val="28"/>
          <w:szCs w:val="28"/>
        </w:rPr>
        <w:t>района»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r w:rsidR="001E15EB" w:rsidRPr="001E15EB">
        <w:rPr>
          <w:rFonts w:ascii="Times New Roman" w:hAnsi="Times New Roman" w:cs="Times New Roman"/>
          <w:sz w:val="28"/>
          <w:szCs w:val="28"/>
        </w:rPr>
        <w:t>Чаплыгинского</w:t>
      </w:r>
      <w:r w:rsidR="006E7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</w:p>
    <w:p w14:paraId="49029EB1" w14:textId="669DECF5" w:rsidR="00472A7B" w:rsidRPr="00FB4283" w:rsidRDefault="00472A7B" w:rsidP="00460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0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1E15EB">
        <w:rPr>
          <w:rFonts w:ascii="Times New Roman" w:hAnsi="Times New Roman" w:cs="Times New Roman"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>, назначенных на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FB4283">
        <w:rPr>
          <w:rFonts w:ascii="Times New Roman" w:hAnsi="Times New Roman" w:cs="Times New Roman"/>
          <w:sz w:val="28"/>
          <w:szCs w:val="28"/>
        </w:rPr>
        <w:t xml:space="preserve">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Pr="00FB4283">
        <w:rPr>
          <w:rFonts w:ascii="Times New Roman" w:hAnsi="Times New Roman" w:cs="Times New Roman"/>
          <w:sz w:val="28"/>
          <w:szCs w:val="28"/>
        </w:rPr>
        <w:t xml:space="preserve"> год</w:t>
      </w:r>
      <w:r w:rsidR="00FC79A4" w:rsidRPr="00FB4283">
        <w:rPr>
          <w:rFonts w:ascii="Times New Roman" w:hAnsi="Times New Roman" w:cs="Times New Roman"/>
          <w:sz w:val="28"/>
          <w:szCs w:val="28"/>
        </w:rPr>
        <w:t>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r w:rsidR="001E15EB">
        <w:rPr>
          <w:rFonts w:ascii="Times New Roman" w:hAnsi="Times New Roman" w:cs="Times New Roman"/>
          <w:sz w:val="28"/>
        </w:rPr>
        <w:t>Чаплыгинского</w:t>
      </w:r>
      <w:r w:rsidR="006E7F71">
        <w:rPr>
          <w:rFonts w:ascii="Times New Roman" w:hAnsi="Times New Roman" w:cs="Times New Roman"/>
          <w:sz w:val="28"/>
        </w:rPr>
        <w:t xml:space="preserve"> 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14:paraId="399B49CB" w14:textId="5354680A" w:rsidR="00472A7B" w:rsidRPr="00FB4283" w:rsidRDefault="00472A7B" w:rsidP="004606C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1E15EB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1E15EB" w:rsidRPr="001E15EB">
        <w:rPr>
          <w:rFonts w:ascii="Times New Roman" w:hAnsi="Times New Roman" w:cs="Times New Roman"/>
          <w:sz w:val="28"/>
          <w:szCs w:val="28"/>
        </w:rPr>
        <w:t xml:space="preserve"> </w:t>
      </w:r>
      <w:r w:rsidR="001E15EB">
        <w:rPr>
          <w:rFonts w:ascii="Times New Roman" w:hAnsi="Times New Roman" w:cs="Times New Roman"/>
          <w:sz w:val="28"/>
          <w:szCs w:val="28"/>
        </w:rPr>
        <w:t>депутатов Чаплыгинского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14:paraId="6CE05271" w14:textId="33B5BDD4" w:rsidR="001C6E7A" w:rsidRDefault="001C6E7A" w:rsidP="001C6E7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14:paraId="699D4E48" w14:textId="68E22801" w:rsidR="00472A7B" w:rsidRPr="00FB4283" w:rsidRDefault="00377A4E" w:rsidP="00FB42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1E15EB">
        <w:rPr>
          <w:rFonts w:ascii="Times New Roman" w:hAnsi="Times New Roman" w:cs="Times New Roman"/>
          <w:sz w:val="28"/>
          <w:szCs w:val="28"/>
        </w:rPr>
        <w:t>Чаплыгинского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5EB">
        <w:rPr>
          <w:rFonts w:ascii="Times New Roman" w:hAnsi="Times New Roman" w:cs="Times New Roman"/>
          <w:sz w:val="28"/>
          <w:szCs w:val="28"/>
        </w:rPr>
        <w:t>района в</w:t>
      </w:r>
      <w:r w:rsidR="006E6C53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«Интернет».</w:t>
      </w:r>
    </w:p>
    <w:p w14:paraId="2AFE2078" w14:textId="13123438" w:rsidR="00F91670" w:rsidRDefault="00377A4E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FB55F8">
        <w:rPr>
          <w:rFonts w:ascii="Times New Roman" w:hAnsi="Times New Roman" w:cs="Times New Roman"/>
          <w:sz w:val="28"/>
          <w:szCs w:val="28"/>
        </w:rPr>
        <w:t xml:space="preserve"> Чаплыгинского района</w:t>
      </w:r>
      <w:r w:rsidR="00F91670">
        <w:rPr>
          <w:rFonts w:ascii="Times New Roman" w:hAnsi="Times New Roman" w:cs="Times New Roman"/>
          <w:sz w:val="28"/>
          <w:szCs w:val="28"/>
        </w:rPr>
        <w:t xml:space="preserve"> </w:t>
      </w:r>
      <w:r w:rsidR="001E15EB">
        <w:rPr>
          <w:rFonts w:ascii="Times New Roman" w:hAnsi="Times New Roman" w:cs="Times New Roman"/>
          <w:sz w:val="28"/>
          <w:szCs w:val="28"/>
        </w:rPr>
        <w:t>Татаринову Ольгу Николаевну.</w:t>
      </w:r>
    </w:p>
    <w:p w14:paraId="35A074BC" w14:textId="77777777" w:rsidR="001E15EB" w:rsidRDefault="001E15EB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03F02BB" w14:textId="77777777" w:rsidR="001E15EB" w:rsidRPr="001E15EB" w:rsidRDefault="001E15EB" w:rsidP="001E15EB">
      <w:pPr>
        <w:tabs>
          <w:tab w:val="left" w:pos="656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1" w:name="_GoBack"/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Д.Н. АНДРЕЕВА</w:t>
      </w:r>
    </w:p>
    <w:p w14:paraId="7C589234" w14:textId="77777777" w:rsidR="001E15EB" w:rsidRPr="001E15EB" w:rsidRDefault="001E15EB" w:rsidP="001E1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6CEDBFA9" w14:textId="77777777" w:rsidR="001E15EB" w:rsidRPr="001E15EB" w:rsidRDefault="001E15EB" w:rsidP="001E1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ЧАПЛЫГИНСКОГО РАЙОНА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</w:t>
      </w:r>
    </w:p>
    <w:p w14:paraId="77DEB073" w14:textId="77777777" w:rsidR="001E15EB" w:rsidRPr="001E15EB" w:rsidRDefault="001E15EB" w:rsidP="001E1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52427EF" w14:textId="77777777" w:rsidR="001E15EB" w:rsidRPr="001E15EB" w:rsidRDefault="001E15EB" w:rsidP="001E15EB">
      <w:pPr>
        <w:tabs>
          <w:tab w:val="left" w:pos="669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О.А. ГАУХИНА</w:t>
      </w:r>
    </w:p>
    <w:p w14:paraId="471CD4EA" w14:textId="77777777" w:rsidR="001E15EB" w:rsidRPr="001E15EB" w:rsidRDefault="001E15EB" w:rsidP="001E1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3820EDB9" w14:textId="77777777" w:rsidR="001E15EB" w:rsidRPr="001E15EB" w:rsidRDefault="001E15EB" w:rsidP="001E15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ЧАПЛЫГИНСКОГО РАЙОНА                                                        </w:t>
      </w:r>
    </w:p>
    <w:bookmarkEnd w:id="1"/>
    <w:p w14:paraId="28A46522" w14:textId="00FA43BA" w:rsidR="001E15EB" w:rsidRDefault="001E15EB" w:rsidP="00377A4E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AED5A36" w14:textId="3EAA8B1B" w:rsidR="001E15EB" w:rsidRDefault="001E15EB" w:rsidP="00377A4E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7529C2A" w14:textId="7E477DB5"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F34044" w14:paraId="03BCAD43" w14:textId="77777777" w:rsidTr="00F34044">
        <w:tc>
          <w:tcPr>
            <w:tcW w:w="4673" w:type="dxa"/>
          </w:tcPr>
          <w:p w14:paraId="098C12AA" w14:textId="6454CC25"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14:paraId="5DB4C46B" w14:textId="73C50A52" w:rsidR="00F34044" w:rsidRPr="00287F31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r w:rsidR="001E15EB">
              <w:rPr>
                <w:color w:val="000000"/>
                <w:sz w:val="24"/>
                <w:szCs w:val="24"/>
              </w:rPr>
              <w:t xml:space="preserve">Чаплыгинского </w:t>
            </w:r>
            <w:r w:rsidR="00377A4E">
              <w:rPr>
                <w:color w:val="000000"/>
                <w:sz w:val="24"/>
                <w:szCs w:val="24"/>
              </w:rPr>
              <w:t>района</w:t>
            </w:r>
          </w:p>
          <w:p w14:paraId="4622400B" w14:textId="474FF5C5" w:rsidR="00F34044" w:rsidRDefault="00F34044" w:rsidP="00287F31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E15EB">
              <w:rPr>
                <w:color w:val="000000"/>
                <w:sz w:val="24"/>
                <w:szCs w:val="24"/>
              </w:rPr>
              <w:t>«22» июля</w:t>
            </w:r>
            <w:r w:rsidR="00D35E25">
              <w:rPr>
                <w:color w:val="000000"/>
                <w:sz w:val="24"/>
                <w:szCs w:val="24"/>
              </w:rPr>
              <w:t xml:space="preserve"> 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1E15EB">
              <w:rPr>
                <w:color w:val="000000"/>
                <w:sz w:val="24"/>
                <w:szCs w:val="24"/>
              </w:rPr>
              <w:t>129/442</w:t>
            </w:r>
          </w:p>
        </w:tc>
      </w:tr>
    </w:tbl>
    <w:p w14:paraId="40F7C36E" w14:textId="77777777"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52C447" w14:textId="77777777"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33E68" w14:textId="6C19588C" w:rsidR="009852F5" w:rsidRPr="004D25E1" w:rsidRDefault="00FB55F8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14:paraId="74B865CA" w14:textId="2138F878" w:rsidR="00287F31" w:rsidRPr="004D25E1" w:rsidRDefault="00F34044" w:rsidP="009B54B0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9B54B0" w:rsidRPr="001E15EB">
        <w:rPr>
          <w:rFonts w:ascii="Times New Roman" w:hAnsi="Times New Roman" w:cs="Times New Roman"/>
          <w:b/>
          <w:bCs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, назначенных </w:t>
      </w:r>
      <w:r w:rsidR="001C6E7A"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7995ACC" w14:textId="20CB4C1F"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  <w:r>
        <w:rPr>
          <w:rFonts w:ascii="Calibri" w:eastAsiaTheme="minorEastAsia" w:hAnsi="Calibri" w:cs="Calibri"/>
          <w:kern w:val="2"/>
          <w:lang w:eastAsia="ru-RU"/>
          <w14:ligatures w14:val="standardContextual"/>
        </w:rPr>
        <w:t xml:space="preserve"> </w:t>
      </w:r>
    </w:p>
    <w:p w14:paraId="15110DA3" w14:textId="77777777"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1. Общие положения</w:t>
      </w:r>
    </w:p>
    <w:p w14:paraId="215542D7" w14:textId="0832D711"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>при проведении выборов депутатов</w:t>
      </w:r>
      <w:r w:rsidR="009B54B0" w:rsidRPr="009B54B0">
        <w:rPr>
          <w:rFonts w:ascii="Times New Roman" w:hAnsi="Times New Roman" w:cs="Times New Roman"/>
          <w:bCs/>
          <w:sz w:val="28"/>
          <w:szCs w:val="28"/>
        </w:rPr>
        <w:t xml:space="preserve"> Совета депутатов Чаплыгинского муниципального округа Липецкой области Российской Федерации первого созыва</w:t>
      </w:r>
      <w:r w:rsidR="009B54B0">
        <w:rPr>
          <w:rFonts w:ascii="Times New Roman" w:hAnsi="Times New Roman" w:cs="Times New Roman"/>
          <w:bCs/>
          <w:sz w:val="28"/>
          <w:szCs w:val="28"/>
        </w:rPr>
        <w:t>,</w:t>
      </w:r>
      <w:r w:rsidR="009B54B0" w:rsidRPr="009B54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4283" w:rsidRPr="00FB4283"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(далее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9B54B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Чаплыгинского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14:paraId="597637A4" w14:textId="00A25550"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14:paraId="27417E39" w14:textId="0313859F"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14:paraId="16941CE9" w14:textId="72D2435B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14:paraId="4B25E611" w14:textId="46DCF596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14:paraId="07F808B3" w14:textId="30DFADF5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14:paraId="51726B6E" w14:textId="6C707A71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7B262087" w14:textId="4E34567D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14:paraId="00BADF1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14:paraId="23760C82" w14:textId="223BEEC9"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14:paraId="131F7FFD" w14:textId="36DB383F"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перемещении избирательных бюллетеней из ящиков для голосования в сейф-пакеты и их хранении;</w:t>
      </w:r>
    </w:p>
    <w:p w14:paraId="02CA9575" w14:textId="742D45CF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14:paraId="30D46A81" w14:textId="1E51E1D4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14:paraId="6006B383" w14:textId="4C46FEFF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9B54B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Чаплыгинского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14:paraId="2EECF595" w14:textId="3120B98B"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A33F4A">
        <w:rPr>
          <w:rFonts w:ascii="Times New Roman" w:hAnsi="Times New Roman" w:cs="Times New Roman"/>
          <w:sz w:val="28"/>
          <w:szCs w:val="28"/>
        </w:rPr>
        <w:t>трёхмандатному</w:t>
      </w:r>
      <w:r w:rsidR="00377A4E">
        <w:rPr>
          <w:rFonts w:ascii="Times New Roman" w:hAnsi="Times New Roman" w:cs="Times New Roman"/>
          <w:sz w:val="28"/>
          <w:szCs w:val="28"/>
        </w:rPr>
        <w:t xml:space="preserve"> мандатному</w:t>
      </w:r>
      <w:r w:rsidR="00A346C5" w:rsidRPr="00DD1572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14:paraId="7ED77B3C" w14:textId="214EC9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14:paraId="2B9FACED" w14:textId="0C7BE57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14:paraId="27B9CAF4" w14:textId="49E4906E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14:paraId="7319FBAA" w14:textId="7FF86658"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B4202D" w14:textId="1BF2E31B"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A33F4A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Чаплыгинского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14:paraId="1C4354BD" w14:textId="2CC77101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8631CA" w14:textId="3D683510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3A310579" w14:textId="3EEB9665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r w:rsidR="00A33F4A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Чаплыгинского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05ABCCCD" w14:textId="56258EA1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А4 с надписью «В помещении ведется видеонаблюдение».</w:t>
      </w:r>
    </w:p>
    <w:p w14:paraId="25D98AF4" w14:textId="77777777"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разместить таблички при осуществлении следующих действий членов УИК: </w:t>
      </w:r>
    </w:p>
    <w:p w14:paraId="25B46EE3" w14:textId="638511EF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lastRenderedPageBreak/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бюллетеней из переносного (стационарного) ящика для голосования в сейф-пакеты – табличка «Перемещение бюллетеней в сейф-пакеты»;</w:t>
      </w:r>
    </w:p>
    <w:p w14:paraId="4C6D45A3" w14:textId="0B4CF485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запечатывание сейф-пакетов – «Запечатывание сейф-пакетов»;</w:t>
      </w:r>
    </w:p>
    <w:p w14:paraId="171551EA" w14:textId="50BCCDB9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запечатанных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14:paraId="27F42D5D" w14:textId="37BB6AF9"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сейф-пакетов – «Извлечение бюллетеней из сейф-пакетов».</w:t>
      </w:r>
    </w:p>
    <w:p w14:paraId="00E1003F" w14:textId="2D41788E"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сейф-пакеты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14:paraId="5C867CEF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3BD8F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14:paraId="293BDD89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14:paraId="78AE884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F6F93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14:paraId="17583B70" w14:textId="79DD8862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голосования–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избирательных бюллетеней (далее – бюллетени); стационарные и переносные ящики для голосования; </w:t>
      </w:r>
    </w:p>
    <w:p w14:paraId="7D68B684" w14:textId="41DD0A6B"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>места перемещения бюллетеней из ящиков для голосования в сейф-пакеты; сейф (металлический шкаф, металлический ящик), где хранятся сейф-пакеты с бюллетенями проголосовавших избирателей;</w:t>
      </w:r>
    </w:p>
    <w:p w14:paraId="2EECF3C8" w14:textId="72774CB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2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2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голосования с машиночитаемым кодом; место подписания протокола УИК об итогах голосования и проведения итогового заседания УИК.</w:t>
      </w:r>
    </w:p>
    <w:p w14:paraId="53510D0E" w14:textId="7E3B8C8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14:paraId="676EC446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</w:p>
    <w:p w14:paraId="25670B8A" w14:textId="36F8FBD1"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14:paraId="26DEF16C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14:paraId="51E09121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14:paraId="2F2C711C" w14:textId="4229567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C1C0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14:paraId="20CB549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378F2DB" w14:textId="734BB692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14:paraId="420998C5" w14:textId="71287B14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45838" w14:textId="4BDCA4FC"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14:paraId="053695E9" w14:textId="434D450B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21C50B" w14:textId="6EAE7A5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14:paraId="1C90EFB8" w14:textId="586C18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92C93" w14:textId="0EF39DDE"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Чаплыгинского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контроль за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корректностью номера (наименования),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14:paraId="353FEF3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14:paraId="70C9463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982E2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камеры видеонаблюдения, изменять фокусное расстояние камер видеонаблюдения;</w:t>
      </w:r>
    </w:p>
    <w:p w14:paraId="0D30988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14:paraId="1C57D8E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712893F8" w14:textId="6E355FA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14:paraId="3CC17593" w14:textId="7E118555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14:paraId="64C8523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14:paraId="740691DE" w14:textId="5C2F2F7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14:paraId="3B16F0F4" w14:textId="4CFFC65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A268B7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14:paraId="33C24C39" w14:textId="21D0099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14:paraId="3FF2EC7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проведения итогового заседания УИК ведомость предоставляется Техническому оператору.</w:t>
      </w:r>
    </w:p>
    <w:p w14:paraId="65666F30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47C1A" w14:textId="4C56E728"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r w:rsidR="00A33F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Чаплыгинского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14:paraId="443E8ACD" w14:textId="77777777"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34D59" w14:textId="69E9AA7E"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14:paraId="5EDABB75" w14:textId="26A48A9F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134541" w14:textId="7EEC6EA6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9E1B" w14:textId="5B347A3A"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14:paraId="25D43BC4" w14:textId="35B2D2BC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F9E9A" w14:textId="302019A7"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</w:t>
      </w:r>
      <w:r w:rsidR="00A33F4A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ТИК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14:paraId="5A058C64" w14:textId="3FC4B27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14:paraId="21E7CF64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Представитель Технического оператора устанавливает средства видеонаблюдения в соответствии с указанной в пункте 3.3 Порядка схемой. При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этом камеры видеонаблюдения устанавливаются на высоте, обеспечивающей отсутствие помех для видеонаблюдения.</w:t>
      </w:r>
    </w:p>
    <w:p w14:paraId="550BFAD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14:paraId="47A380FE" w14:textId="6B792752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</w:t>
      </w:r>
      <w:r w:rsidR="00A33F4A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ТИК</w:t>
      </w:r>
      <w:r w:rsidR="00A33F4A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87D8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14:paraId="03142AB7" w14:textId="77777777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7B76853" w14:textId="78B2193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14:paraId="122A1AB0" w14:textId="4BC70C5D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E96F2" w14:textId="231060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14:paraId="0601A6EC" w14:textId="7C2391D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14:paraId="086D5985" w14:textId="6474DEA9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14:paraId="15963343" w14:textId="2AB9C5C4"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ТИК осуществляет контроль за достоверностью адреса ТИК, указанного на служебном портале, и за соблюдением зон видимости камер видеонаблюдения.</w:t>
      </w:r>
    </w:p>
    <w:p w14:paraId="0D61BC96" w14:textId="2A364E9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14:paraId="798C783E" w14:textId="7A8A4CB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14:paraId="1CEDD3BE" w14:textId="01DC4A6E"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0E52E" w14:textId="0C38E3D4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14:paraId="50C508A6" w14:textId="08B78DB1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14:paraId="31E9BAB9" w14:textId="59228D72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6EAD0CB1" w14:textId="51B82D29"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CCD90F" w14:textId="5D4700E0"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ИК, суммирование данных, содержащихся в данных протоколах, составление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проведение 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</w:p>
    <w:p w14:paraId="70B010E7" w14:textId="09DEE18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на служебном портале осуществляют контроль за выполнением указанного требования.</w:t>
      </w:r>
    </w:p>
    <w:p w14:paraId="3CC6BA7C" w14:textId="5259E4E0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 всех случаях включения/выключения электропитания средств видеонаблюдения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14:paraId="2EED05AF" w14:textId="5D768CA8"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14:paraId="55FFCDDC" w14:textId="3B679CF8"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94F1B" w14:textId="7279CBF9"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Чаплыгинского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086744" w14:textId="31274956"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4.3. ТИК с использованием служебного портала по возможности осуществляет контроль за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14:paraId="1BACA503" w14:textId="1F108FE6"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14:paraId="23B45AB0" w14:textId="4A3A09AC"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>голосования в ГАС "Выборы" на комплексе средств автоматизации ТИК.</w:t>
      </w:r>
    </w:p>
    <w:p w14:paraId="13E57B27" w14:textId="081DAE0D"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r w:rsidR="00A33F4A">
        <w:rPr>
          <w:rFonts w:ascii="Times New Roman" w:hAnsi="Times New Roman" w:cs="Times New Roman"/>
          <w:sz w:val="28"/>
          <w:szCs w:val="28"/>
        </w:rPr>
        <w:t>трёх</w:t>
      </w:r>
      <w:r w:rsidR="00777043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52A9F2" w14:textId="2B22D22E"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контроля за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14:paraId="2C4E6156" w14:textId="2026FECB"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r w:rsidR="00A33F4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трёх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 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14:paraId="606ED4B1" w14:textId="77777777" w:rsidR="00A33F4A" w:rsidRDefault="004B0752" w:rsidP="00A33F4A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lastRenderedPageBreak/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депутатов </w:t>
      </w:r>
      <w:r w:rsidR="00A33F4A" w:rsidRPr="00A33F4A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Чаплыгинского муниципального округа Липецкой области Российской Федерации </w:t>
      </w:r>
    </w:p>
    <w:p w14:paraId="4A54382C" w14:textId="6F50837A" w:rsidR="004B0752" w:rsidRDefault="00A33F4A" w:rsidP="00A33F4A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3F4A">
        <w:rPr>
          <w:rFonts w:ascii="Times New Roman" w:hAnsi="Times New Roman" w:cs="Times New Roman"/>
          <w:b/>
          <w:bCs/>
          <w:sz w:val="28"/>
          <w:szCs w:val="28"/>
        </w:rPr>
        <w:t>первого созыва</w:t>
      </w:r>
    </w:p>
    <w:p w14:paraId="7ED0E06B" w14:textId="77777777" w:rsidR="00A33F4A" w:rsidRPr="00A33F4A" w:rsidRDefault="00A33F4A" w:rsidP="00A33F4A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</w:p>
    <w:p w14:paraId="1BFBD6F0" w14:textId="089ED420" w:rsidR="004B0752" w:rsidRPr="00DD157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A33F4A" w:rsidRPr="009B54B0">
        <w:rPr>
          <w:rFonts w:ascii="Times New Roman" w:hAnsi="Times New Roman" w:cs="Times New Roman"/>
          <w:bCs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A33F4A">
        <w:rPr>
          <w:rFonts w:ascii="Times New Roman" w:hAnsi="Times New Roman" w:cs="Times New Roman"/>
          <w:bCs/>
          <w:sz w:val="28"/>
          <w:szCs w:val="28"/>
        </w:rPr>
        <w:t>,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1DFE" w14:textId="6E4F36DB"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r w:rsidR="00A33F4A">
        <w:rPr>
          <w:rFonts w:ascii="Times New Roman" w:hAnsi="Times New Roman" w:cs="Times New Roman"/>
          <w:sz w:val="28"/>
          <w:szCs w:val="28"/>
        </w:rPr>
        <w:t>трёх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</w:p>
    <w:p w14:paraId="48162D68" w14:textId="77777777"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14:paraId="15D8D835" w14:textId="4D51DB0A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14:paraId="3AEB3289" w14:textId="5C1DF2B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A33F4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3F4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14:paraId="6076EFE6" w14:textId="0932355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связи с решением вопроса о возбуждении дела об административном правонарушении, о возбуждении уголовного дела 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14:paraId="6A184F6F" w14:textId="76F8F0EC"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0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</w:p>
    <w:p w14:paraId="6068CE5E" w14:textId="04F78DA6"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C1D533" w14:textId="4D849F95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14:paraId="3A1CD254" w14:textId="275F2B2C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Чаплыгинского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BDC152" w14:textId="4E185903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14:paraId="50AE5AB4" w14:textId="2A397A4F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DA853B" w14:textId="406EE541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14:paraId="1935FA1C" w14:textId="4A14658B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14:paraId="46C8B733" w14:textId="7BEA91B6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видеозаписи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14:paraId="4635D0DE" w14:textId="67282BA7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14:paraId="199AA0A1" w14:textId="575C36FE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14:paraId="5C10FB02" w14:textId="04B8225C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14:paraId="127A5040" w14:textId="2227DCF9"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 w:rsidR="00A33F4A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устройств хранения информации (флеш-накопитель, DVD-диск и т.п.).</w:t>
      </w:r>
    </w:p>
    <w:p w14:paraId="79655687" w14:textId="3E06D86C" w:rsid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r w:rsidR="00F50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Чаплыгинского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об этом лицу, подавшему заявку, с указанием на то, в чем имеется несоответствие.</w:t>
      </w:r>
    </w:p>
    <w:p w14:paraId="70201777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0DDBA9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990AA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F7BE4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36CA96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AB7E0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33F55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A7137" w14:textId="77777777" w:rsidR="00C87257" w:rsidRDefault="00C87257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7257" w:rsidSect="001E15EB">
          <w:headerReference w:type="first" r:id="rId11"/>
          <w:pgSz w:w="11906" w:h="16838"/>
          <w:pgMar w:top="851" w:right="851" w:bottom="851" w:left="1418" w:header="709" w:footer="709" w:gutter="0"/>
          <w:pgNumType w:start="1"/>
          <w:cols w:space="720"/>
          <w:docGrid w:linePitch="326"/>
        </w:sectPr>
      </w:pPr>
    </w:p>
    <w:p w14:paraId="0A07E1CD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101"/>
        <w:gridCol w:w="5254"/>
      </w:tblGrid>
      <w:tr w:rsidR="00AA777D" w:rsidRPr="0018637F" w14:paraId="3C787A3F" w14:textId="77777777" w:rsidTr="00AA777D">
        <w:tc>
          <w:tcPr>
            <w:tcW w:w="4101" w:type="dxa"/>
          </w:tcPr>
          <w:p w14:paraId="78F6AA96" w14:textId="77777777"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br w:type="page"/>
            </w:r>
          </w:p>
        </w:tc>
        <w:tc>
          <w:tcPr>
            <w:tcW w:w="5254" w:type="dxa"/>
            <w:hideMark/>
          </w:tcPr>
          <w:p w14:paraId="2565B512" w14:textId="77777777"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14:paraId="2C729237" w14:textId="288EEE3E" w:rsidR="008F5315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EB25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3A1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назначенных на </w:t>
            </w:r>
          </w:p>
          <w:p w14:paraId="49E049B5" w14:textId="515B08EF" w:rsidR="00AA777D" w:rsidRPr="0018637F" w:rsidRDefault="008F5315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</w:t>
            </w:r>
            <w:r w:rsidR="00AA7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A777D"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7B25EF75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DE3E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4BF0B07D" w14:textId="77777777"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00591B1C" w14:textId="355A2C8F"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14:paraId="7571BF6F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14:paraId="27CA035B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006E7737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4FE21AED" w14:textId="47EA1D08" w:rsidR="009B446A" w:rsidRPr="007C29F8" w:rsidRDefault="000222F9" w:rsidP="000222F9">
      <w:pPr>
        <w:rPr>
          <w:b/>
          <w:kern w:val="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89C69" wp14:editId="2A6CD310">
                <wp:simplePos x="0" y="0"/>
                <wp:positionH relativeFrom="column">
                  <wp:posOffset>3329940</wp:posOffset>
                </wp:positionH>
                <wp:positionV relativeFrom="paragraph">
                  <wp:posOffset>1400175</wp:posOffset>
                </wp:positionV>
                <wp:extent cx="276225" cy="121285"/>
                <wp:effectExtent l="0" t="0" r="28575" b="12065"/>
                <wp:wrapNone/>
                <wp:docPr id="1915098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21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A640DCB"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    </w:pict>
          </mc:Fallback>
        </mc:AlternateContent>
      </w:r>
      <w:r w:rsidR="009B446A" w:rsidRPr="000222F9">
        <w:rPr>
          <w:noProof/>
          <w:lang w:eastAsia="ru-RU"/>
        </w:rPr>
        <w:drawing>
          <wp:inline distT="0" distB="0" distL="0" distR="0" wp14:anchorId="7E9D4D0A" wp14:editId="4F18D7BF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FE55E" w14:textId="77777777"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 хранения сейф-пакетов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14:paraId="387F16DF" w14:textId="77777777"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>Место, с которого демонстрируется протокол УИК об итогах голосования и оглашаются данные из него.</w:t>
      </w:r>
    </w:p>
    <w:p w14:paraId="28E0245E" w14:textId="6819659A"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7BC61DA0" w14:textId="77777777"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5"/>
        <w:gridCol w:w="5525"/>
      </w:tblGrid>
      <w:tr w:rsidR="0018637F" w:rsidRPr="0018637F" w14:paraId="1F02FC6E" w14:textId="77777777" w:rsidTr="00C87257">
        <w:tc>
          <w:tcPr>
            <w:tcW w:w="4075" w:type="dxa"/>
          </w:tcPr>
          <w:p w14:paraId="5D40350C" w14:textId="77777777"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14:paraId="033FE82D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14:paraId="45BABF85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14:paraId="70F5C13C" w14:textId="5C79BDF6" w:rsidR="0018637F" w:rsidRPr="0018637F" w:rsidRDefault="0018637F" w:rsidP="00F509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F50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 Совета депутатов Чаплыгинского округа Липецкой области Российской Федерации первого созыва</w:t>
            </w:r>
            <w:r w:rsidR="00792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назначенных на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сентября 20</w:t>
            </w:r>
            <w:r w:rsidR="00717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509AD583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5EFDDC5A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14:paraId="4BFB59C3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04AF6B5B" w14:textId="77777777"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14:paraId="58B6298B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14:paraId="5F64AF22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14:paraId="349F8BEF" w14:textId="7D82A2A3"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14:paraId="67C82ED5" w14:textId="5ED85F2B"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14:paraId="05B98783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39904FCF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14:paraId="705279E9" w14:textId="77777777"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271BC4F3" w14:textId="77777777"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14:paraId="683C5486" w14:textId="77777777"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8"/>
        <w:gridCol w:w="3226"/>
        <w:gridCol w:w="5986"/>
      </w:tblGrid>
      <w:tr w:rsidR="0018637F" w:rsidRPr="0018637F" w14:paraId="393E182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5F67EE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23048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70AA3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14:paraId="5FE5EA0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308D6C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AE1D22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14:paraId="7DA08454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0188B3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14:paraId="4D3946BE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4F244C" w14:textId="77777777"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303BB9" w14:textId="77777777"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6FDFF4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14:paraId="08EF72E1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в службу, несущую ответственность за бесперебойное обеспечение электроэнергией на </w:t>
            </w: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объекте, с целью уточнения сроков восстановления энергоснабжения;</w:t>
            </w:r>
          </w:p>
          <w:p w14:paraId="6516DB8B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14:paraId="38F155BA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14:paraId="1D7283DC" w14:textId="1E793D17"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14:paraId="56A07E02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5BCD3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DCFA9E" w14:textId="77777777"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7635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14:paraId="45FB595F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14:paraId="660EED2A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65AD4750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14:paraId="4395A6D9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14:paraId="5F2EA40D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помещения ТИК, по итогам устранения неисправности составляется и подписывается в двух экземплярах акт восстановления работоспособности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14:paraId="2A249992" w14:textId="4D829927"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EB9AEB" w14:textId="77777777"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3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14:paraId="667F18BE" w14:textId="7B1974C6"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14:paraId="0E88768C" w14:textId="3074621B" w:rsidR="00DD1572" w:rsidRDefault="0018637F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F509A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Совета депутатов Чаплыгинского округа Липецкой области Российской Федерации первого созыва</w:t>
      </w:r>
      <w:r w:rsidR="008F5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назначенных </w:t>
      </w:r>
    </w:p>
    <w:p w14:paraId="34E50ED6" w14:textId="2A014A34" w:rsidR="0018637F" w:rsidRPr="0018637F" w:rsidRDefault="008F5315" w:rsidP="004D25E1">
      <w:pPr>
        <w:autoSpaceDE w:val="0"/>
        <w:autoSpaceDN w:val="0"/>
        <w:adjustRightInd w:val="0"/>
        <w:spacing w:after="0" w:line="240" w:lineRule="auto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14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</w:t>
      </w:r>
      <w:r w:rsidR="00AA77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1E6E02D6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14:paraId="7D6F7BFE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14:paraId="38F4BE94" w14:textId="0CAC40E9" w:rsidR="00AA777D" w:rsidRPr="00F509AB" w:rsidRDefault="00AA777D" w:rsidP="00F509A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(помещении территориальной избира</w:t>
      </w:r>
      <w:r w:rsid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тельной комиссии Чаплыгинского района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14:paraId="5217DED8" w14:textId="18F2282D" w:rsidR="00AA777D" w:rsidRPr="00F509AB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на выборах</w:t>
      </w:r>
      <w:r w:rsidR="008F5315"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депутатов </w:t>
      </w:r>
      <w:r w:rsidR="00F509AB" w:rsidRPr="00F509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 Чаплыгинского округа Липецкой области Российской Федерации первого созыва</w:t>
      </w:r>
      <w:r w:rsidR="0079260D"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, назначенных на</w:t>
      </w:r>
      <w:r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</w:t>
      </w:r>
      <w:r w:rsidR="008F5315"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14</w:t>
      </w:r>
      <w:r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сентября 202</w:t>
      </w:r>
      <w:r w:rsidR="008F5315"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5</w:t>
      </w:r>
      <w:r w:rsidRPr="00F509A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года</w:t>
      </w:r>
    </w:p>
    <w:p w14:paraId="5276EB1A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14:paraId="55B1ACA5" w14:textId="77777777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B28C8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C52D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6871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14:paraId="29CFF1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77CEC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452420" w14:textId="77777777"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87CC6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A1B2F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14:paraId="6B0C9CAB" w14:textId="77777777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3916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16723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282B8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9BB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4C02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0EB3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1B8002" w14:textId="77777777"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0A91F6" w14:textId="77777777"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8E5D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B5A1C9" w14:textId="77777777"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14:paraId="6C0A5FB7" w14:textId="77777777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E347AD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41A5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6FB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728E8B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D32AC9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1D3504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87A5AE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BEC2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CED215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E41A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14:paraId="1D23D9D2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06CF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51D5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8F32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554B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EFF5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9AD39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520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C02D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643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E06B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2F781CFF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680A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980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AB8F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D88C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94F3D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B45C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902EB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C28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8D4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19EBC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9DA93E1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D305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343A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6186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1F9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F7A8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C331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F1772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45B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F551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3E7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7A3A99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809A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779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E4C2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C30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2D7C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C6AF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70941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E3B0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C55E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9A7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7E901F0D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26EC8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4CD4E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9178C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3BE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CCB0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6130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3D53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7A6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F32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C22E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D4A2F93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0442C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8400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17E21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499DD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3A1DB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408E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611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FEEC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758A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0BFC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351A032E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10050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9DA34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8E9E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4081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86A3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C0DCC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1F19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D218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B96A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CE518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28E0EA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8C77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08EC3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A8E2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0BA93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6846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AFA5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2720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C9C8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AEC7B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312A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14:paraId="595E3086" w14:textId="77777777"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5A315A5" w14:textId="77777777"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14:paraId="183C58AB" w14:textId="77777777"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ED12" w14:textId="77777777" w:rsidR="004229D9" w:rsidRDefault="004229D9" w:rsidP="00591E6C">
      <w:pPr>
        <w:spacing w:after="0" w:line="240" w:lineRule="auto"/>
      </w:pPr>
      <w:r>
        <w:separator/>
      </w:r>
    </w:p>
  </w:endnote>
  <w:endnote w:type="continuationSeparator" w:id="0">
    <w:p w14:paraId="3F4848CF" w14:textId="77777777" w:rsidR="004229D9" w:rsidRDefault="004229D9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C39D4" w14:textId="77777777" w:rsidR="004229D9" w:rsidRDefault="004229D9" w:rsidP="00591E6C">
      <w:pPr>
        <w:spacing w:after="0" w:line="240" w:lineRule="auto"/>
      </w:pPr>
      <w:r>
        <w:separator/>
      </w:r>
    </w:p>
  </w:footnote>
  <w:footnote w:type="continuationSeparator" w:id="0">
    <w:p w14:paraId="126E794F" w14:textId="77777777" w:rsidR="004229D9" w:rsidRDefault="004229D9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3174C" w14:textId="441EE295" w:rsidR="00C87257" w:rsidRDefault="00C87257" w:rsidP="00C87257">
    <w:pPr>
      <w:jc w:val="center"/>
    </w:pPr>
  </w:p>
  <w:p w14:paraId="18A0D12C" w14:textId="77777777" w:rsidR="00C87257" w:rsidRPr="00835711" w:rsidRDefault="00C87257" w:rsidP="00C87257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92A1" w14:textId="1288F66E" w:rsidR="0018637F" w:rsidRDefault="0018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B55F8">
      <w:rPr>
        <w:noProof/>
      </w:rPr>
      <w:t>2</w:t>
    </w:r>
    <w:r>
      <w:fldChar w:fldCharType="end"/>
    </w:r>
  </w:p>
  <w:p w14:paraId="1C3BECE1" w14:textId="77777777" w:rsidR="0018637F" w:rsidRDefault="001863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450E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15EB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54B0"/>
    <w:rsid w:val="009B6232"/>
    <w:rsid w:val="009C2371"/>
    <w:rsid w:val="009C393B"/>
    <w:rsid w:val="009D2C62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3F4A"/>
    <w:rsid w:val="00A346C5"/>
    <w:rsid w:val="00A514A3"/>
    <w:rsid w:val="00A51E49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B028F8"/>
    <w:rsid w:val="00B03609"/>
    <w:rsid w:val="00B04066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60D56"/>
    <w:rsid w:val="00E74B28"/>
    <w:rsid w:val="00E805EC"/>
    <w:rsid w:val="00E856D1"/>
    <w:rsid w:val="00E95B4A"/>
    <w:rsid w:val="00EA2CD7"/>
    <w:rsid w:val="00EB120D"/>
    <w:rsid w:val="00EB2588"/>
    <w:rsid w:val="00EC0AE3"/>
    <w:rsid w:val="00EC4AC9"/>
    <w:rsid w:val="00EC5B15"/>
    <w:rsid w:val="00ED6B21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509AB"/>
    <w:rsid w:val="00F650CA"/>
    <w:rsid w:val="00F659D6"/>
    <w:rsid w:val="00F84E31"/>
    <w:rsid w:val="00F8658E"/>
    <w:rsid w:val="00F91670"/>
    <w:rsid w:val="00F93896"/>
    <w:rsid w:val="00FB390D"/>
    <w:rsid w:val="00FB4283"/>
    <w:rsid w:val="00FB55F8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01778&amp;dst=10009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01778&amp;dst=10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203E-8513-4780-9AFF-4F2B4E6A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24</Pages>
  <Words>5694</Words>
  <Characters>32456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12</cp:revision>
  <cp:lastPrinted>2025-07-17T07:04:00Z</cp:lastPrinted>
  <dcterms:created xsi:type="dcterms:W3CDTF">2025-07-18T07:26:00Z</dcterms:created>
  <dcterms:modified xsi:type="dcterms:W3CDTF">2025-07-23T10:20:00Z</dcterms:modified>
</cp:coreProperties>
</file>